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408" w:lineRule="auto" w:before="65"/>
        <w:ind w:left="2567" w:right="2600" w:firstLine="415"/>
      </w:pPr>
      <w:r>
        <w:rPr/>
        <w:t>Паспорт подпрограммы V «Ликвидация накопленного вреда окружающей среде» муниципальной</w:t>
      </w:r>
      <w:r>
        <w:rPr>
          <w:spacing w:val="-4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городского</w:t>
      </w:r>
      <w:r>
        <w:rPr>
          <w:spacing w:val="-4"/>
        </w:rPr>
        <w:t> </w:t>
      </w:r>
      <w:r>
        <w:rPr/>
        <w:t>округа</w:t>
      </w:r>
      <w:r>
        <w:rPr>
          <w:spacing w:val="-4"/>
        </w:rPr>
        <w:t> </w:t>
      </w:r>
      <w:r>
        <w:rPr/>
        <w:t>Щёлково</w:t>
      </w:r>
      <w:r>
        <w:rPr>
          <w:spacing w:val="-4"/>
        </w:rPr>
        <w:t> </w:t>
      </w:r>
      <w:r>
        <w:rPr/>
        <w:t>«Экология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окружающая</w:t>
      </w:r>
      <w:r>
        <w:rPr>
          <w:spacing w:val="-4"/>
        </w:rPr>
        <w:t> </w:t>
      </w:r>
      <w:r>
        <w:rPr/>
        <w:t>среда»</w:t>
      </w:r>
    </w:p>
    <w:p>
      <w:pPr>
        <w:spacing w:line="240" w:lineRule="auto" w:before="1" w:after="1"/>
        <w:rPr>
          <w:b/>
          <w:sz w:val="12"/>
        </w:r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0"/>
        <w:gridCol w:w="2142"/>
        <w:gridCol w:w="1524"/>
        <w:gridCol w:w="1467"/>
        <w:gridCol w:w="1308"/>
        <w:gridCol w:w="1498"/>
        <w:gridCol w:w="1545"/>
        <w:gridCol w:w="1704"/>
      </w:tblGrid>
      <w:tr>
        <w:trPr>
          <w:trHeight w:val="721" w:hRule="atLeast"/>
        </w:trPr>
        <w:tc>
          <w:tcPr>
            <w:tcW w:w="2170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Муниципальный</w:t>
            </w:r>
          </w:p>
          <w:p>
            <w:pPr>
              <w:pStyle w:val="TableParagraph"/>
              <w:spacing w:before="24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заказчик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подпрограммы</w:t>
            </w:r>
          </w:p>
        </w:tc>
        <w:tc>
          <w:tcPr>
            <w:tcW w:w="11188" w:type="dxa"/>
            <w:gridSpan w:val="7"/>
          </w:tcPr>
          <w:p>
            <w:pPr>
              <w:pStyle w:val="TableParagraph"/>
              <w:spacing w:line="266" w:lineRule="auto"/>
              <w:ind w:left="2458" w:right="285" w:hanging="2166"/>
              <w:jc w:val="left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экологии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окружающей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среды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содержанию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территорий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обращению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ТКО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Администрации городского округа Щёлково Администрации городского округа Щёлково</w:t>
            </w:r>
          </w:p>
        </w:tc>
      </w:tr>
      <w:tr>
        <w:trPr>
          <w:trHeight w:val="227" w:hRule="atLeast"/>
        </w:trPr>
        <w:tc>
          <w:tcPr>
            <w:tcW w:w="2170" w:type="dxa"/>
            <w:vMerge w:val="restart"/>
          </w:tcPr>
          <w:p>
            <w:pPr>
              <w:pStyle w:val="TableParagraph"/>
              <w:spacing w:line="266" w:lineRule="auto"/>
              <w:ind w:left="1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Главный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распорядитель </w:t>
            </w:r>
            <w:r>
              <w:rPr>
                <w:sz w:val="20"/>
              </w:rPr>
              <w:t>бюджетных средств </w:t>
            </w:r>
            <w:r>
              <w:rPr>
                <w:spacing w:val="-2"/>
                <w:sz w:val="20"/>
              </w:rPr>
              <w:t>Администрация</w:t>
            </w:r>
          </w:p>
          <w:p>
            <w:pPr>
              <w:pStyle w:val="TableParagraph"/>
              <w:spacing w:line="266" w:lineRule="auto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городского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округа </w:t>
            </w:r>
            <w:r>
              <w:rPr>
                <w:spacing w:val="-2"/>
                <w:sz w:val="20"/>
              </w:rPr>
              <w:t>Щёлково</w:t>
            </w:r>
          </w:p>
        </w:tc>
        <w:tc>
          <w:tcPr>
            <w:tcW w:w="2142" w:type="dxa"/>
            <w:vMerge w:val="restart"/>
          </w:tcPr>
          <w:p>
            <w:pPr>
              <w:pStyle w:val="TableParagraph"/>
              <w:spacing w:line="266" w:lineRule="auto" w:before="185"/>
              <w:ind w:left="357" w:right="346" w:firstLine="29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Источник финансирования</w:t>
            </w:r>
          </w:p>
        </w:tc>
        <w:tc>
          <w:tcPr>
            <w:tcW w:w="9046" w:type="dxa"/>
            <w:gridSpan w:val="6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(тыс.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рублей)</w:t>
            </w:r>
          </w:p>
        </w:tc>
      </w:tr>
      <w:tr>
        <w:trPr>
          <w:trHeight w:val="632" w:hRule="atLeast"/>
        </w:trPr>
        <w:tc>
          <w:tcPr>
            <w:tcW w:w="2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spacing w:before="199"/>
              <w:ind w:left="5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9"/>
              <w:ind w:lef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308" w:type="dxa"/>
          </w:tcPr>
          <w:p>
            <w:pPr>
              <w:pStyle w:val="TableParagraph"/>
              <w:spacing w:before="199"/>
              <w:ind w:lef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498" w:type="dxa"/>
          </w:tcPr>
          <w:p>
            <w:pPr>
              <w:pStyle w:val="TableParagraph"/>
              <w:spacing w:before="199"/>
              <w:ind w:left="2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545" w:type="dxa"/>
          </w:tcPr>
          <w:p>
            <w:pPr>
              <w:pStyle w:val="TableParagraph"/>
              <w:spacing w:before="199"/>
              <w:ind w:left="2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704" w:type="dxa"/>
          </w:tcPr>
          <w:p>
            <w:pPr>
              <w:pStyle w:val="TableParagraph"/>
              <w:spacing w:before="199"/>
              <w:ind w:left="2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</w:tr>
      <w:tr>
        <w:trPr>
          <w:trHeight w:val="837" w:hRule="atLeast"/>
        </w:trPr>
        <w:tc>
          <w:tcPr>
            <w:tcW w:w="2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</w:tcPr>
          <w:p>
            <w:pPr>
              <w:pStyle w:val="TableParagraph"/>
              <w:spacing w:line="266" w:lineRule="auto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бюджета городского округа </w:t>
            </w:r>
            <w:r>
              <w:rPr>
                <w:spacing w:val="-2"/>
                <w:sz w:val="20"/>
              </w:rPr>
              <w:t>Щёлково</w:t>
            </w:r>
          </w:p>
        </w:tc>
        <w:tc>
          <w:tcPr>
            <w:tcW w:w="1524" w:type="dxa"/>
          </w:tcPr>
          <w:p>
            <w:pPr>
              <w:pStyle w:val="TableParagraph"/>
              <w:spacing w:before="7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12"/>
              <w:rPr>
                <w:sz w:val="20"/>
              </w:rPr>
            </w:pPr>
            <w:r>
              <w:rPr>
                <w:sz w:val="20"/>
              </w:rPr>
              <w:t>19 </w:t>
            </w:r>
            <w:r>
              <w:rPr>
                <w:spacing w:val="-2"/>
                <w:sz w:val="20"/>
              </w:rPr>
              <w:t>525,6</w:t>
            </w:r>
          </w:p>
        </w:tc>
        <w:tc>
          <w:tcPr>
            <w:tcW w:w="1467" w:type="dxa"/>
          </w:tcPr>
          <w:p>
            <w:pPr>
              <w:pStyle w:val="TableParagraph"/>
              <w:spacing w:before="7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308" w:type="dxa"/>
          </w:tcPr>
          <w:p>
            <w:pPr>
              <w:pStyle w:val="TableParagraph"/>
              <w:spacing w:before="7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12"/>
              <w:rPr>
                <w:sz w:val="20"/>
              </w:rPr>
            </w:pPr>
            <w:r>
              <w:rPr>
                <w:sz w:val="20"/>
              </w:rPr>
              <w:t>5 </w:t>
            </w:r>
            <w:r>
              <w:rPr>
                <w:spacing w:val="-4"/>
                <w:sz w:val="20"/>
              </w:rPr>
              <w:t>000,0</w:t>
            </w:r>
          </w:p>
        </w:tc>
        <w:tc>
          <w:tcPr>
            <w:tcW w:w="1498" w:type="dxa"/>
          </w:tcPr>
          <w:p>
            <w:pPr>
              <w:pStyle w:val="TableParagraph"/>
              <w:spacing w:before="7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13"/>
              <w:rPr>
                <w:sz w:val="20"/>
              </w:rPr>
            </w:pPr>
            <w:r>
              <w:rPr>
                <w:sz w:val="20"/>
              </w:rPr>
              <w:t>5 </w:t>
            </w:r>
            <w:r>
              <w:rPr>
                <w:spacing w:val="-4"/>
                <w:sz w:val="20"/>
              </w:rPr>
              <w:t>289,2</w:t>
            </w:r>
          </w:p>
        </w:tc>
        <w:tc>
          <w:tcPr>
            <w:tcW w:w="1545" w:type="dxa"/>
          </w:tcPr>
          <w:p>
            <w:pPr>
              <w:pStyle w:val="TableParagraph"/>
              <w:spacing w:before="7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11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4"/>
                <w:sz w:val="20"/>
              </w:rPr>
              <w:t>618,2</w:t>
            </w:r>
          </w:p>
        </w:tc>
        <w:tc>
          <w:tcPr>
            <w:tcW w:w="1704" w:type="dxa"/>
          </w:tcPr>
          <w:p>
            <w:pPr>
              <w:pStyle w:val="TableParagraph"/>
              <w:spacing w:before="7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11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4"/>
                <w:sz w:val="20"/>
              </w:rPr>
              <w:t>618,2</w:t>
            </w:r>
          </w:p>
        </w:tc>
      </w:tr>
      <w:tr>
        <w:trPr>
          <w:trHeight w:val="793" w:hRule="atLeast"/>
        </w:trPr>
        <w:tc>
          <w:tcPr>
            <w:tcW w:w="2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</w:tcPr>
          <w:p>
            <w:pPr>
              <w:pStyle w:val="TableParagraph"/>
              <w:spacing w:line="266" w:lineRule="auto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Средства бюджета </w:t>
            </w:r>
            <w:r>
              <w:rPr>
                <w:spacing w:val="-2"/>
                <w:sz w:val="20"/>
              </w:rPr>
              <w:t>Московской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1524" w:type="dxa"/>
          </w:tcPr>
          <w:p>
            <w:pPr>
              <w:pStyle w:val="TableParagraph"/>
              <w:spacing w:before="48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67" w:type="dxa"/>
          </w:tcPr>
          <w:p>
            <w:pPr>
              <w:pStyle w:val="TableParagraph"/>
              <w:spacing w:before="48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308" w:type="dxa"/>
          </w:tcPr>
          <w:p>
            <w:pPr>
              <w:pStyle w:val="TableParagraph"/>
              <w:spacing w:before="48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498" w:type="dxa"/>
          </w:tcPr>
          <w:p>
            <w:pPr>
              <w:pStyle w:val="TableParagraph"/>
              <w:spacing w:before="48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545" w:type="dxa"/>
          </w:tcPr>
          <w:p>
            <w:pPr>
              <w:pStyle w:val="TableParagraph"/>
              <w:spacing w:before="48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704" w:type="dxa"/>
          </w:tcPr>
          <w:p>
            <w:pPr>
              <w:pStyle w:val="TableParagraph"/>
              <w:spacing w:before="48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>
        <w:trPr>
          <w:trHeight w:val="721" w:hRule="atLeast"/>
        </w:trPr>
        <w:tc>
          <w:tcPr>
            <w:tcW w:w="2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</w:tcPr>
          <w:p>
            <w:pPr>
              <w:pStyle w:val="TableParagraph"/>
              <w:spacing w:line="266" w:lineRule="auto"/>
              <w:ind w:left="2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Средства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федерального бюджета</w:t>
            </w:r>
          </w:p>
        </w:tc>
        <w:tc>
          <w:tcPr>
            <w:tcW w:w="1524" w:type="dxa"/>
          </w:tcPr>
          <w:p>
            <w:pPr>
              <w:pStyle w:val="TableParagraph"/>
              <w:spacing w:before="12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467" w:type="dxa"/>
          </w:tcPr>
          <w:p>
            <w:pPr>
              <w:pStyle w:val="TableParagraph"/>
              <w:spacing w:before="12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308" w:type="dxa"/>
          </w:tcPr>
          <w:p>
            <w:pPr>
              <w:pStyle w:val="TableParagraph"/>
              <w:spacing w:before="12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498" w:type="dxa"/>
          </w:tcPr>
          <w:p>
            <w:pPr>
              <w:pStyle w:val="TableParagraph"/>
              <w:spacing w:before="12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545" w:type="dxa"/>
          </w:tcPr>
          <w:p>
            <w:pPr>
              <w:pStyle w:val="TableParagraph"/>
              <w:spacing w:before="12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704" w:type="dxa"/>
          </w:tcPr>
          <w:p>
            <w:pPr>
              <w:pStyle w:val="TableParagraph"/>
              <w:spacing w:before="12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>
        <w:trPr>
          <w:trHeight w:val="661" w:hRule="atLeast"/>
        </w:trPr>
        <w:tc>
          <w:tcPr>
            <w:tcW w:w="2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</w:tcPr>
          <w:p>
            <w:pPr>
              <w:pStyle w:val="TableParagraph"/>
              <w:spacing w:line="266" w:lineRule="auto"/>
              <w:ind w:left="26" w:right="77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Внебюджетные средства</w:t>
            </w:r>
          </w:p>
        </w:tc>
        <w:tc>
          <w:tcPr>
            <w:tcW w:w="1524" w:type="dxa"/>
          </w:tcPr>
          <w:p>
            <w:pPr>
              <w:pStyle w:val="TableParagraph"/>
              <w:spacing w:before="213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467" w:type="dxa"/>
          </w:tcPr>
          <w:p>
            <w:pPr>
              <w:pStyle w:val="TableParagraph"/>
              <w:spacing w:before="213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13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498" w:type="dxa"/>
          </w:tcPr>
          <w:p>
            <w:pPr>
              <w:pStyle w:val="TableParagraph"/>
              <w:spacing w:before="213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545" w:type="dxa"/>
          </w:tcPr>
          <w:p>
            <w:pPr>
              <w:pStyle w:val="TableParagraph"/>
              <w:spacing w:before="213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704" w:type="dxa"/>
          </w:tcPr>
          <w:p>
            <w:pPr>
              <w:pStyle w:val="TableParagraph"/>
              <w:spacing w:before="213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>
        <w:trPr>
          <w:trHeight w:val="676" w:hRule="atLeast"/>
        </w:trPr>
        <w:tc>
          <w:tcPr>
            <w:tcW w:w="2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</w:tcPr>
          <w:p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Всего: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числе:</w:t>
            </w:r>
          </w:p>
        </w:tc>
        <w:tc>
          <w:tcPr>
            <w:tcW w:w="1524" w:type="dxa"/>
          </w:tcPr>
          <w:p>
            <w:pPr>
              <w:pStyle w:val="TableParagraph"/>
              <w:spacing w:before="221"/>
              <w:ind w:right="12"/>
              <w:rPr>
                <w:sz w:val="20"/>
              </w:rPr>
            </w:pPr>
            <w:r>
              <w:rPr>
                <w:sz w:val="20"/>
              </w:rPr>
              <w:t>19 </w:t>
            </w:r>
            <w:r>
              <w:rPr>
                <w:spacing w:val="-2"/>
                <w:sz w:val="20"/>
              </w:rPr>
              <w:t>525,6</w:t>
            </w:r>
          </w:p>
        </w:tc>
        <w:tc>
          <w:tcPr>
            <w:tcW w:w="1467" w:type="dxa"/>
          </w:tcPr>
          <w:p>
            <w:pPr>
              <w:pStyle w:val="TableParagraph"/>
              <w:spacing w:before="221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21"/>
              <w:ind w:right="12"/>
              <w:rPr>
                <w:sz w:val="20"/>
              </w:rPr>
            </w:pPr>
            <w:r>
              <w:rPr>
                <w:sz w:val="20"/>
              </w:rPr>
              <w:t>5 </w:t>
            </w:r>
            <w:r>
              <w:rPr>
                <w:spacing w:val="-4"/>
                <w:sz w:val="20"/>
              </w:rPr>
              <w:t>000,0</w:t>
            </w:r>
          </w:p>
        </w:tc>
        <w:tc>
          <w:tcPr>
            <w:tcW w:w="1498" w:type="dxa"/>
          </w:tcPr>
          <w:p>
            <w:pPr>
              <w:pStyle w:val="TableParagraph"/>
              <w:spacing w:before="221"/>
              <w:ind w:right="13"/>
              <w:rPr>
                <w:sz w:val="20"/>
              </w:rPr>
            </w:pPr>
            <w:r>
              <w:rPr>
                <w:sz w:val="20"/>
              </w:rPr>
              <w:t>5 </w:t>
            </w:r>
            <w:r>
              <w:rPr>
                <w:spacing w:val="-4"/>
                <w:sz w:val="20"/>
              </w:rPr>
              <w:t>289,2</w:t>
            </w:r>
          </w:p>
        </w:tc>
        <w:tc>
          <w:tcPr>
            <w:tcW w:w="1545" w:type="dxa"/>
          </w:tcPr>
          <w:p>
            <w:pPr>
              <w:pStyle w:val="TableParagraph"/>
              <w:spacing w:before="221"/>
              <w:ind w:right="11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4"/>
                <w:sz w:val="20"/>
              </w:rPr>
              <w:t>618,2</w:t>
            </w:r>
          </w:p>
        </w:tc>
        <w:tc>
          <w:tcPr>
            <w:tcW w:w="1704" w:type="dxa"/>
          </w:tcPr>
          <w:p>
            <w:pPr>
              <w:pStyle w:val="TableParagraph"/>
              <w:spacing w:before="221"/>
              <w:ind w:right="11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4"/>
                <w:sz w:val="20"/>
              </w:rPr>
              <w:t>618,2</w:t>
            </w:r>
          </w:p>
        </w:tc>
      </w:tr>
    </w:tbl>
    <w:sectPr>
      <w:type w:val="continuous"/>
      <w:pgSz w:w="16840" w:h="11910" w:orient="landscape"/>
      <w:pgMar w:top="128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title>Untitled Spreadsheet</dc:title>
  <dcterms:created xsi:type="dcterms:W3CDTF">2025-07-02T07:22:05Z</dcterms:created>
  <dcterms:modified xsi:type="dcterms:W3CDTF">2025-07-02T07:22:05Z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Excel® 2016</vt:lpwstr>
  </property>
</Properties>
</file>