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ind w:left="10306"/>
      </w:pPr>
      <w:r>
        <w:rPr/>
        <w:t>Приложение</w:t>
      </w:r>
      <w:r>
        <w:rPr>
          <w:spacing w:val="-2"/>
        </w:rPr>
        <w:t> </w:t>
      </w:r>
      <w:r>
        <w:rPr/>
        <w:t>№ 2</w:t>
      </w:r>
      <w:r>
        <w:rPr>
          <w:spacing w:val="1"/>
        </w:rPr>
        <w:t> </w:t>
      </w:r>
      <w:r>
        <w:rPr/>
        <w:t>к</w:t>
      </w:r>
      <w:r>
        <w:rPr>
          <w:spacing w:val="-9"/>
        </w:rPr>
        <w:t> </w:t>
      </w:r>
      <w:r>
        <w:rPr>
          <w:spacing w:val="-2"/>
        </w:rPr>
        <w:t>Программе</w:t>
      </w:r>
    </w:p>
    <w:p>
      <w:pPr>
        <w:pStyle w:val="BodyText"/>
        <w:spacing w:before="53"/>
      </w:pPr>
      <w:r>
        <w:rPr/>
        <w:t>Методика</w:t>
      </w:r>
      <w:r>
        <w:rPr>
          <w:spacing w:val="-9"/>
        </w:rPr>
        <w:t> </w:t>
      </w:r>
      <w:r>
        <w:rPr/>
        <w:t>расчета</w:t>
      </w:r>
      <w:r>
        <w:rPr>
          <w:spacing w:val="-7"/>
        </w:rPr>
        <w:t> </w:t>
      </w:r>
      <w:r>
        <w:rPr/>
        <w:t>значений</w:t>
      </w:r>
      <w:r>
        <w:rPr>
          <w:spacing w:val="-9"/>
        </w:rPr>
        <w:t> </w:t>
      </w:r>
      <w:r>
        <w:rPr/>
        <w:t>целевых</w:t>
      </w:r>
      <w:r>
        <w:rPr>
          <w:spacing w:val="-4"/>
        </w:rPr>
        <w:t> </w:t>
      </w:r>
      <w:r>
        <w:rPr/>
        <w:t>показателей</w:t>
      </w:r>
      <w:r>
        <w:rPr>
          <w:spacing w:val="-9"/>
        </w:rPr>
        <w:t> </w:t>
      </w:r>
      <w:r>
        <w:rPr/>
        <w:t>муниципальной</w:t>
      </w:r>
      <w:r>
        <w:rPr>
          <w:spacing w:val="-9"/>
        </w:rPr>
        <w:t> </w:t>
      </w:r>
      <w:r>
        <w:rPr/>
        <w:t>программы</w:t>
      </w:r>
      <w:r>
        <w:rPr>
          <w:spacing w:val="-8"/>
        </w:rPr>
        <w:t> </w:t>
      </w:r>
      <w:r>
        <w:rPr/>
        <w:t>городского</w:t>
      </w:r>
      <w:r>
        <w:rPr>
          <w:spacing w:val="-4"/>
        </w:rPr>
        <w:t> </w:t>
      </w:r>
      <w:r>
        <w:rPr/>
        <w:t>округа</w:t>
      </w:r>
      <w:r>
        <w:rPr>
          <w:spacing w:val="-6"/>
        </w:rPr>
        <w:t> </w:t>
      </w:r>
      <w:r>
        <w:rPr>
          <w:spacing w:val="-2"/>
        </w:rPr>
        <w:t>Щёлково</w:t>
      </w:r>
    </w:p>
    <w:p>
      <w:pPr>
        <w:pStyle w:val="BodyText"/>
        <w:spacing w:before="63"/>
        <w:ind w:right="91"/>
      </w:pPr>
      <w:r>
        <w:rPr/>
        <w:t>«Экология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окружающая</w:t>
      </w:r>
      <w:r>
        <w:rPr>
          <w:spacing w:val="-7"/>
        </w:rPr>
        <w:t> </w:t>
      </w:r>
      <w:r>
        <w:rPr>
          <w:spacing w:val="-2"/>
        </w:rPr>
        <w:t>среда»</w:t>
      </w: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2622"/>
        <w:gridCol w:w="1069"/>
        <w:gridCol w:w="754"/>
        <w:gridCol w:w="5299"/>
        <w:gridCol w:w="1778"/>
        <w:gridCol w:w="1204"/>
      </w:tblGrid>
      <w:tr>
        <w:trPr>
          <w:trHeight w:val="648" w:hRule="atLeast"/>
        </w:trPr>
        <w:tc>
          <w:tcPr>
            <w:tcW w:w="574" w:type="dxa"/>
          </w:tcPr>
          <w:p>
            <w:pPr>
              <w:pStyle w:val="TableParagraph"/>
              <w:spacing w:line="168" w:lineRule="exact"/>
              <w:ind w:left="44" w:right="3"/>
              <w:jc w:val="center"/>
              <w:rPr>
                <w:sz w:val="15"/>
              </w:rPr>
            </w:pPr>
            <w:r>
              <w:rPr>
                <w:sz w:val="15"/>
              </w:rPr>
              <w:t>№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п/п</w:t>
            </w:r>
          </w:p>
        </w:tc>
        <w:tc>
          <w:tcPr>
            <w:tcW w:w="2622" w:type="dxa"/>
          </w:tcPr>
          <w:p>
            <w:pPr>
              <w:pStyle w:val="TableParagraph"/>
              <w:spacing w:line="168" w:lineRule="exact"/>
              <w:ind w:lef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Наименование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целевого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показателя</w:t>
            </w:r>
          </w:p>
        </w:tc>
        <w:tc>
          <w:tcPr>
            <w:tcW w:w="1069" w:type="dxa"/>
          </w:tcPr>
          <w:p>
            <w:pPr>
              <w:pStyle w:val="TableParagraph"/>
              <w:spacing w:line="249" w:lineRule="auto"/>
              <w:ind w:left="197" w:hanging="79"/>
              <w:rPr>
                <w:sz w:val="15"/>
              </w:rPr>
            </w:pPr>
            <w:r>
              <w:rPr>
                <w:spacing w:val="-2"/>
                <w:sz w:val="15"/>
              </w:rPr>
              <w:t>Тип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целевого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показателя</w:t>
            </w:r>
          </w:p>
        </w:tc>
        <w:tc>
          <w:tcPr>
            <w:tcW w:w="754" w:type="dxa"/>
          </w:tcPr>
          <w:p>
            <w:pPr>
              <w:pStyle w:val="TableParagraph"/>
              <w:spacing w:line="249" w:lineRule="auto"/>
              <w:ind w:left="50" w:right="14" w:firstLine="56"/>
              <w:rPr>
                <w:sz w:val="15"/>
              </w:rPr>
            </w:pPr>
            <w:r>
              <w:rPr>
                <w:spacing w:val="-2"/>
                <w:sz w:val="15"/>
              </w:rPr>
              <w:t>Единица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измерения</w:t>
            </w:r>
          </w:p>
        </w:tc>
        <w:tc>
          <w:tcPr>
            <w:tcW w:w="5299" w:type="dxa"/>
          </w:tcPr>
          <w:p>
            <w:pPr>
              <w:pStyle w:val="TableParagraph"/>
              <w:spacing w:line="168" w:lineRule="exact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Порядок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расчета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целевого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показателя</w:t>
            </w:r>
          </w:p>
        </w:tc>
        <w:tc>
          <w:tcPr>
            <w:tcW w:w="1778" w:type="dxa"/>
          </w:tcPr>
          <w:p>
            <w:pPr>
              <w:pStyle w:val="TableParagraph"/>
              <w:spacing w:line="249" w:lineRule="auto"/>
              <w:ind w:left="489" w:hanging="270"/>
              <w:rPr>
                <w:sz w:val="15"/>
              </w:rPr>
            </w:pPr>
            <w:r>
              <w:rPr>
                <w:sz w:val="15"/>
              </w:rPr>
              <w:t>Источник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получения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информации</w:t>
            </w:r>
          </w:p>
        </w:tc>
        <w:tc>
          <w:tcPr>
            <w:tcW w:w="1204" w:type="dxa"/>
          </w:tcPr>
          <w:p>
            <w:pPr>
              <w:pStyle w:val="TableParagraph"/>
              <w:spacing w:line="249" w:lineRule="auto"/>
              <w:ind w:left="100" w:firstLine="5"/>
              <w:rPr>
                <w:sz w:val="15"/>
              </w:rPr>
            </w:pPr>
            <w:r>
              <w:rPr>
                <w:spacing w:val="-2"/>
                <w:sz w:val="15"/>
              </w:rPr>
              <w:t>Периодичность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предоставления</w:t>
            </w:r>
          </w:p>
        </w:tc>
      </w:tr>
      <w:tr>
        <w:trPr>
          <w:trHeight w:val="198" w:hRule="atLeast"/>
        </w:trPr>
        <w:tc>
          <w:tcPr>
            <w:tcW w:w="574" w:type="dxa"/>
          </w:tcPr>
          <w:p>
            <w:pPr>
              <w:pStyle w:val="TableParagraph"/>
              <w:spacing w:line="161" w:lineRule="exact" w:before="17"/>
              <w:ind w:left="44" w:righ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622" w:type="dxa"/>
          </w:tcPr>
          <w:p>
            <w:pPr>
              <w:pStyle w:val="TableParagraph"/>
              <w:spacing w:line="161" w:lineRule="exact" w:before="17"/>
              <w:ind w:left="40" w:right="1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line="161" w:lineRule="exact" w:before="17"/>
              <w:ind w:left="37" w:right="1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5299" w:type="dxa"/>
          </w:tcPr>
          <w:p>
            <w:pPr>
              <w:pStyle w:val="TableParagraph"/>
              <w:spacing w:line="161" w:lineRule="exact" w:before="17"/>
              <w:ind w:left="27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778" w:type="dxa"/>
          </w:tcPr>
          <w:p>
            <w:pPr>
              <w:pStyle w:val="TableParagraph"/>
              <w:spacing w:line="161" w:lineRule="exact" w:before="17"/>
              <w:ind w:left="3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204" w:type="dxa"/>
          </w:tcPr>
          <w:p>
            <w:pPr>
              <w:pStyle w:val="TableParagraph"/>
              <w:spacing w:line="161" w:lineRule="exact" w:before="17"/>
              <w:ind w:right="54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176" w:hRule="atLeast"/>
        </w:trPr>
        <w:tc>
          <w:tcPr>
            <w:tcW w:w="13300" w:type="dxa"/>
            <w:gridSpan w:val="7"/>
          </w:tcPr>
          <w:p>
            <w:pPr>
              <w:pStyle w:val="TableParagraph"/>
              <w:spacing w:line="150" w:lineRule="exact" w:before="6"/>
              <w:ind w:left="34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Целевые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показатели</w:t>
            </w:r>
          </w:p>
        </w:tc>
      </w:tr>
      <w:tr>
        <w:trPr>
          <w:trHeight w:val="176" w:hRule="atLeast"/>
        </w:trPr>
        <w:tc>
          <w:tcPr>
            <w:tcW w:w="574" w:type="dxa"/>
          </w:tcPr>
          <w:p>
            <w:pPr>
              <w:pStyle w:val="TableParagraph"/>
              <w:spacing w:line="156" w:lineRule="exact"/>
              <w:ind w:left="4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2726" w:type="dxa"/>
            <w:gridSpan w:val="6"/>
          </w:tcPr>
          <w:p>
            <w:pPr>
              <w:pStyle w:val="TableParagraph"/>
              <w:spacing w:line="150" w:lineRule="exact" w:before="6"/>
              <w:ind w:left="42" w:right="8"/>
              <w:jc w:val="center"/>
              <w:rPr>
                <w:sz w:val="15"/>
              </w:rPr>
            </w:pPr>
            <w:r>
              <w:rPr>
                <w:sz w:val="15"/>
              </w:rPr>
              <w:t>Подпрограмма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«Охрана окружающей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среды»</w:t>
            </w:r>
          </w:p>
        </w:tc>
      </w:tr>
      <w:tr>
        <w:trPr>
          <w:trHeight w:val="997" w:hRule="atLeast"/>
        </w:trPr>
        <w:tc>
          <w:tcPr>
            <w:tcW w:w="57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6"/>
              <w:rPr>
                <w:sz w:val="15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1.1.</w:t>
            </w:r>
          </w:p>
        </w:tc>
        <w:tc>
          <w:tcPr>
            <w:tcW w:w="2622" w:type="dxa"/>
          </w:tcPr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31" w:right="80"/>
              <w:rPr>
                <w:sz w:val="15"/>
              </w:rPr>
            </w:pPr>
            <w:r>
              <w:rPr>
                <w:sz w:val="15"/>
              </w:rPr>
              <w:t>Количество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проведенных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исследований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состояния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окружающей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среды</w:t>
            </w:r>
          </w:p>
        </w:tc>
        <w:tc>
          <w:tcPr>
            <w:tcW w:w="1069" w:type="dxa"/>
          </w:tcPr>
          <w:p>
            <w:pPr>
              <w:pStyle w:val="TableParagraph"/>
              <w:spacing w:before="58"/>
              <w:rPr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79" w:right="3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Показатель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мун.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программы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6"/>
              <w:rPr>
                <w:sz w:val="15"/>
              </w:rPr>
            </w:pPr>
          </w:p>
          <w:p>
            <w:pPr>
              <w:pStyle w:val="TableParagraph"/>
              <w:ind w:left="37" w:right="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Единиц</w:t>
            </w:r>
          </w:p>
        </w:tc>
        <w:tc>
          <w:tcPr>
            <w:tcW w:w="5299" w:type="dxa"/>
          </w:tcPr>
          <w:p>
            <w:pPr>
              <w:pStyle w:val="TableParagraph"/>
              <w:spacing w:before="148"/>
              <w:rPr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30"/>
              <w:rPr>
                <w:sz w:val="15"/>
              </w:rPr>
            </w:pPr>
            <w:r>
              <w:rPr>
                <w:sz w:val="15"/>
              </w:rPr>
              <w:t>Показатель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рассчитывается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как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суммарное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количество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реализованных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мероприятий по исследованию состояния окружающей среды.</w:t>
            </w:r>
          </w:p>
        </w:tc>
        <w:tc>
          <w:tcPr>
            <w:tcW w:w="1778" w:type="dxa"/>
          </w:tcPr>
          <w:p>
            <w:pPr>
              <w:pStyle w:val="TableParagraph"/>
              <w:spacing w:line="249" w:lineRule="auto" w:before="141"/>
              <w:ind w:left="61" w:right="25"/>
              <w:jc w:val="center"/>
              <w:rPr>
                <w:sz w:val="15"/>
              </w:rPr>
            </w:pPr>
            <w:r>
              <w:rPr>
                <w:sz w:val="15"/>
              </w:rPr>
              <w:t>Акты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выполненных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работ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 контрактам, а также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отчеты о проведенных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исследованиях.</w:t>
            </w:r>
          </w:p>
        </w:tc>
        <w:tc>
          <w:tcPr>
            <w:tcW w:w="1204" w:type="dxa"/>
          </w:tcPr>
          <w:p>
            <w:pPr>
              <w:pStyle w:val="TableParagraph"/>
              <w:spacing w:before="148"/>
              <w:rPr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Представляется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ежегодно</w:t>
            </w:r>
          </w:p>
        </w:tc>
      </w:tr>
      <w:tr>
        <w:trPr>
          <w:trHeight w:val="1616" w:hRule="atLeast"/>
        </w:trPr>
        <w:tc>
          <w:tcPr>
            <w:tcW w:w="57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6"/>
              <w:rPr>
                <w:sz w:val="15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1.2.</w:t>
            </w:r>
          </w:p>
        </w:tc>
        <w:tc>
          <w:tcPr>
            <w:tcW w:w="2622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1" w:right="6"/>
              <w:rPr>
                <w:sz w:val="15"/>
              </w:rPr>
            </w:pPr>
            <w:r>
              <w:rPr>
                <w:sz w:val="15"/>
              </w:rPr>
              <w:t>Численность населения, участвующего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в мероприятиях по формированию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экологической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культуры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образования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населения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сфере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защиты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окружающей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среды</w:t>
            </w:r>
          </w:p>
        </w:tc>
        <w:tc>
          <w:tcPr>
            <w:tcW w:w="1069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8"/>
              <w:rPr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79" w:right="3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Показатель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мун.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программы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6"/>
              <w:rPr>
                <w:sz w:val="15"/>
              </w:rPr>
            </w:pPr>
          </w:p>
          <w:p>
            <w:pPr>
              <w:pStyle w:val="TableParagraph"/>
              <w:ind w:left="37" w:right="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Чел.</w:t>
            </w:r>
          </w:p>
        </w:tc>
        <w:tc>
          <w:tcPr>
            <w:tcW w:w="5299" w:type="dxa"/>
          </w:tcPr>
          <w:p>
            <w:pPr>
              <w:pStyle w:val="TableParagraph"/>
              <w:spacing w:line="249" w:lineRule="auto"/>
              <w:ind w:left="30" w:right="2309"/>
              <w:rPr>
                <w:sz w:val="15"/>
              </w:rPr>
            </w:pPr>
            <w:r>
              <w:rPr>
                <w:sz w:val="15"/>
              </w:rPr>
              <w:t>Показатель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рассчитывается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формуле: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Cnas=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Ch+Cэ</w:t>
            </w:r>
          </w:p>
          <w:p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Где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10"/>
                <w:sz w:val="15"/>
              </w:rPr>
              <w:t>,</w:t>
            </w: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Ch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–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количество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участников,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выставок,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семинаров;</w:t>
            </w:r>
          </w:p>
          <w:p>
            <w:pPr>
              <w:pStyle w:val="TableParagraph"/>
              <w:spacing w:before="8"/>
              <w:ind w:left="30"/>
              <w:rPr>
                <w:sz w:val="15"/>
              </w:rPr>
            </w:pPr>
            <w:r>
              <w:rPr>
                <w:sz w:val="15"/>
              </w:rPr>
              <w:t>Cэ-количество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участников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экологических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мероприятий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1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44" w:right="2"/>
              <w:jc w:val="center"/>
              <w:rPr>
                <w:sz w:val="15"/>
              </w:rPr>
            </w:pPr>
            <w:r>
              <w:rPr>
                <w:sz w:val="15"/>
              </w:rPr>
              <w:t>Акты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выполненных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работ,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а также отчеты о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мероприятиях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указанием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количества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участников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8"/>
              <w:rPr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29"/>
              <w:rPr>
                <w:sz w:val="15"/>
              </w:rPr>
            </w:pPr>
            <w:r>
              <w:rPr>
                <w:spacing w:val="-2"/>
                <w:sz w:val="15"/>
              </w:rPr>
              <w:t>Представляется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ежегодно</w:t>
            </w:r>
          </w:p>
        </w:tc>
      </w:tr>
      <w:tr>
        <w:trPr>
          <w:trHeight w:val="176" w:hRule="atLeast"/>
        </w:trPr>
        <w:tc>
          <w:tcPr>
            <w:tcW w:w="574" w:type="dxa"/>
          </w:tcPr>
          <w:p>
            <w:pPr>
              <w:pStyle w:val="TableParagraph"/>
              <w:spacing w:line="150" w:lineRule="exact" w:before="6"/>
              <w:ind w:left="4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2726" w:type="dxa"/>
            <w:gridSpan w:val="6"/>
          </w:tcPr>
          <w:p>
            <w:pPr>
              <w:pStyle w:val="TableParagraph"/>
              <w:spacing w:line="150" w:lineRule="exact" w:before="6"/>
              <w:ind w:left="4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Подпрограмма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II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"Развитие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водохозяйственного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комплекса"</w:t>
            </w:r>
          </w:p>
        </w:tc>
      </w:tr>
      <w:tr>
        <w:trPr>
          <w:trHeight w:val="1245" w:hRule="atLeast"/>
        </w:trPr>
        <w:tc>
          <w:tcPr>
            <w:tcW w:w="57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2.1.</w:t>
            </w:r>
          </w:p>
        </w:tc>
        <w:tc>
          <w:tcPr>
            <w:tcW w:w="2622" w:type="dxa"/>
          </w:tcPr>
          <w:p>
            <w:pPr>
              <w:pStyle w:val="TableParagraph"/>
              <w:spacing w:line="249" w:lineRule="auto" w:before="85"/>
              <w:ind w:left="31" w:right="80"/>
              <w:rPr>
                <w:sz w:val="15"/>
              </w:rPr>
            </w:pPr>
            <w:r>
              <w:rPr>
                <w:sz w:val="15"/>
              </w:rPr>
              <w:t>Доля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гидротехнических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сооружений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неудовлетворительным и опасным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уровнем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безопасности,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приведенных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безопасное техническое состояние и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поддерживаемых в безаварийном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режиме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работы</w:t>
            </w:r>
          </w:p>
        </w:tc>
        <w:tc>
          <w:tcPr>
            <w:tcW w:w="1069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79" w:right="3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Показатель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мун.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программы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ind w:left="37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Процент</w:t>
            </w:r>
          </w:p>
        </w:tc>
        <w:tc>
          <w:tcPr>
            <w:tcW w:w="5299" w:type="dxa"/>
          </w:tcPr>
          <w:p>
            <w:pPr>
              <w:pStyle w:val="TableParagraph"/>
              <w:spacing w:line="168" w:lineRule="exact"/>
              <w:ind w:left="30"/>
              <w:rPr>
                <w:sz w:val="15"/>
              </w:rPr>
            </w:pPr>
            <w:r>
              <w:rPr>
                <w:sz w:val="15"/>
              </w:rPr>
              <w:t>Показатель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рассчитывается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формуле:</w:t>
            </w:r>
          </w:p>
          <w:p>
            <w:pPr>
              <w:pStyle w:val="TableParagraph"/>
              <w:spacing w:before="7"/>
              <w:ind w:left="30"/>
              <w:rPr>
                <w:sz w:val="15"/>
              </w:rPr>
            </w:pPr>
            <w:r>
              <w:rPr>
                <w:sz w:val="15"/>
              </w:rPr>
              <w:t>(Vгтс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р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Vгтс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общ)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х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100,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4"/>
                <w:sz w:val="15"/>
              </w:rPr>
              <w:t>где:</w:t>
            </w:r>
          </w:p>
          <w:p>
            <w:pPr>
              <w:pStyle w:val="TableParagraph"/>
              <w:spacing w:line="249" w:lineRule="auto" w:before="8"/>
              <w:ind w:left="30"/>
              <w:rPr>
                <w:sz w:val="15"/>
              </w:rPr>
            </w:pPr>
            <w:r>
              <w:rPr>
                <w:sz w:val="15"/>
              </w:rPr>
              <w:t>Vгтс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количество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гидротехнических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сооружений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приведенных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безопасное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техническое состояние и поддерживаемых в безаварийном режиме работы</w:t>
            </w:r>
          </w:p>
          <w:p>
            <w:pPr>
              <w:pStyle w:val="TableParagraph"/>
              <w:spacing w:line="249" w:lineRule="auto" w:before="1"/>
              <w:ind w:left="30" w:right="92"/>
              <w:rPr>
                <w:sz w:val="15"/>
              </w:rPr>
            </w:pPr>
            <w:r>
              <w:rPr>
                <w:sz w:val="15"/>
              </w:rPr>
              <w:t>Vгтс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общ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количество гидротехнических сооружений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неудовлетворительным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и опасным уровнем безопасности и находящиеся на содержании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ind w:left="31" w:right="2"/>
              <w:jc w:val="center"/>
              <w:rPr>
                <w:sz w:val="15"/>
              </w:rPr>
            </w:pPr>
            <w:r>
              <w:rPr>
                <w:sz w:val="15"/>
              </w:rPr>
              <w:t>Акты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выполненных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работ.</w:t>
            </w:r>
          </w:p>
        </w:tc>
        <w:tc>
          <w:tcPr>
            <w:tcW w:w="1204" w:type="dxa"/>
          </w:tcPr>
          <w:p>
            <w:pPr>
              <w:pStyle w:val="TableParagraph"/>
              <w:spacing w:before="92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29"/>
              <w:rPr>
                <w:sz w:val="15"/>
              </w:rPr>
            </w:pPr>
            <w:r>
              <w:rPr>
                <w:sz w:val="15"/>
              </w:rPr>
              <w:t>Ежегодно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до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15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числа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года,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следующего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за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отчетным</w:t>
            </w:r>
          </w:p>
        </w:tc>
      </w:tr>
      <w:tr>
        <w:trPr>
          <w:trHeight w:val="750" w:hRule="atLeast"/>
        </w:trPr>
        <w:tc>
          <w:tcPr>
            <w:tcW w:w="574" w:type="dxa"/>
          </w:tcPr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2.2.</w:t>
            </w:r>
          </w:p>
        </w:tc>
        <w:tc>
          <w:tcPr>
            <w:tcW w:w="2622" w:type="dxa"/>
          </w:tcPr>
          <w:p>
            <w:pPr>
              <w:pStyle w:val="TableParagraph"/>
              <w:spacing w:line="249" w:lineRule="auto" w:before="107"/>
              <w:ind w:left="31" w:right="80"/>
              <w:rPr>
                <w:sz w:val="15"/>
              </w:rPr>
            </w:pPr>
            <w:r>
              <w:rPr>
                <w:sz w:val="15"/>
              </w:rPr>
              <w:t>Количество прудов, на которых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выполнены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работы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очистке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от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мусора</w:t>
            </w:r>
          </w:p>
        </w:tc>
        <w:tc>
          <w:tcPr>
            <w:tcW w:w="1069" w:type="dxa"/>
          </w:tcPr>
          <w:p>
            <w:pPr>
              <w:pStyle w:val="TableParagraph"/>
              <w:spacing w:line="249" w:lineRule="auto" w:before="107"/>
              <w:ind w:left="79" w:right="3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Показатель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мун.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программы</w:t>
            </w:r>
          </w:p>
        </w:tc>
        <w:tc>
          <w:tcPr>
            <w:tcW w:w="754" w:type="dxa"/>
          </w:tcPr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ind w:left="37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Штука</w:t>
            </w:r>
          </w:p>
        </w:tc>
        <w:tc>
          <w:tcPr>
            <w:tcW w:w="5299" w:type="dxa"/>
          </w:tcPr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0"/>
              <w:rPr>
                <w:sz w:val="15"/>
              </w:rPr>
            </w:pPr>
            <w:r>
              <w:rPr>
                <w:sz w:val="15"/>
              </w:rPr>
              <w:t>Показатель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рассчитывается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как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суммарное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количество прудов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которых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выполнены работы по очистке от мусора</w:t>
            </w:r>
          </w:p>
        </w:tc>
        <w:tc>
          <w:tcPr>
            <w:tcW w:w="1778" w:type="dxa"/>
          </w:tcPr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ind w:left="31" w:right="2"/>
              <w:jc w:val="center"/>
              <w:rPr>
                <w:sz w:val="15"/>
              </w:rPr>
            </w:pPr>
            <w:r>
              <w:rPr>
                <w:sz w:val="15"/>
              </w:rPr>
              <w:t>Акты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выполненных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работ.</w:t>
            </w:r>
          </w:p>
        </w:tc>
        <w:tc>
          <w:tcPr>
            <w:tcW w:w="1204" w:type="dxa"/>
          </w:tcPr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ind w:right="53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Ежегодно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type w:val="continuous"/>
          <w:pgSz w:w="16840" w:h="11910" w:orient="landscape"/>
          <w:pgMar w:top="1040" w:bottom="280" w:left="992" w:right="2409"/>
        </w:sectPr>
      </w:pPr>
    </w:p>
    <w:p>
      <w:pPr>
        <w:pStyle w:val="BodyText"/>
        <w:ind w:right="0"/>
        <w:jc w:val="left"/>
        <w:rPr>
          <w:sz w:val="2"/>
        </w:rPr>
      </w:pPr>
    </w:p>
    <w:tbl>
      <w:tblPr>
        <w:tblW w:w="0" w:type="auto"/>
        <w:jc w:val="left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2621"/>
        <w:gridCol w:w="1069"/>
        <w:gridCol w:w="754"/>
        <w:gridCol w:w="5299"/>
        <w:gridCol w:w="1778"/>
        <w:gridCol w:w="1204"/>
      </w:tblGrid>
      <w:tr>
        <w:trPr>
          <w:trHeight w:val="210" w:hRule="atLeast"/>
        </w:trPr>
        <w:tc>
          <w:tcPr>
            <w:tcW w:w="574" w:type="dxa"/>
          </w:tcPr>
          <w:p>
            <w:pPr>
              <w:pStyle w:val="TableParagraph"/>
              <w:spacing w:line="169" w:lineRule="exact" w:before="21"/>
              <w:ind w:left="44" w:righ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2725" w:type="dxa"/>
            <w:gridSpan w:val="6"/>
          </w:tcPr>
          <w:p>
            <w:pPr>
              <w:pStyle w:val="TableParagraph"/>
              <w:spacing w:line="169" w:lineRule="exact" w:before="21"/>
              <w:ind w:left="43"/>
              <w:jc w:val="center"/>
              <w:rPr>
                <w:sz w:val="15"/>
              </w:rPr>
            </w:pPr>
            <w:r>
              <w:rPr>
                <w:sz w:val="15"/>
              </w:rPr>
              <w:t>Подпрограмма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IV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"Развитие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лесного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хозяйства"</w:t>
            </w:r>
          </w:p>
        </w:tc>
      </w:tr>
      <w:tr>
        <w:trPr>
          <w:trHeight w:val="1571" w:hRule="atLeast"/>
        </w:trPr>
        <w:tc>
          <w:tcPr>
            <w:tcW w:w="57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ind w:left="44" w:righ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3.1</w:t>
            </w:r>
          </w:p>
        </w:tc>
        <w:tc>
          <w:tcPr>
            <w:tcW w:w="2621" w:type="dxa"/>
          </w:tcPr>
          <w:p>
            <w:pPr>
              <w:pStyle w:val="TableParagraph"/>
              <w:spacing w:before="84"/>
              <w:rPr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31"/>
              <w:rPr>
                <w:sz w:val="15"/>
              </w:rPr>
            </w:pPr>
            <w:r>
              <w:rPr>
                <w:sz w:val="15"/>
              </w:rPr>
              <w:t>Доля ликвидированных отходов, на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лесных участках в составе земель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лесного фонда, не предоставленных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гражданам и юридическим лицам, в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общем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объеме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обнаруженных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отходов</w:t>
            </w:r>
          </w:p>
        </w:tc>
        <w:tc>
          <w:tcPr>
            <w:tcW w:w="1069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80" w:right="3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Показатель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мун.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программы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Процент</w:t>
            </w:r>
          </w:p>
        </w:tc>
        <w:tc>
          <w:tcPr>
            <w:tcW w:w="5299" w:type="dxa"/>
          </w:tcPr>
          <w:p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sz w:val="15"/>
              </w:rPr>
              <w:t>Cно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Nно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Nобщ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x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100%,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где:</w:t>
            </w:r>
          </w:p>
          <w:p>
            <w:pPr>
              <w:pStyle w:val="TableParagraph"/>
              <w:spacing w:before="15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1" w:right="92"/>
              <w:rPr>
                <w:sz w:val="15"/>
              </w:rPr>
            </w:pPr>
            <w:r>
              <w:rPr>
                <w:sz w:val="15"/>
              </w:rPr>
              <w:t>Cно -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доля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ликвидированных отходов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от объема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отходов,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подлежащих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ликвидации в пределах выделенного финансирования;</w:t>
            </w:r>
          </w:p>
          <w:p>
            <w:pPr>
              <w:pStyle w:val="TableParagraph"/>
              <w:spacing w:before="1"/>
              <w:ind w:left="31"/>
              <w:rPr>
                <w:sz w:val="15"/>
              </w:rPr>
            </w:pPr>
            <w:r>
              <w:rPr>
                <w:sz w:val="15"/>
              </w:rPr>
              <w:t>Nно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объем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ликвидированных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отходов,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куб.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5"/>
                <w:sz w:val="15"/>
              </w:rPr>
              <w:t>м;</w:t>
            </w:r>
          </w:p>
          <w:p>
            <w:pPr>
              <w:pStyle w:val="TableParagraph"/>
              <w:spacing w:line="249" w:lineRule="auto" w:before="7"/>
              <w:ind w:left="31"/>
              <w:rPr>
                <w:sz w:val="15"/>
              </w:rPr>
            </w:pPr>
            <w:r>
              <w:rPr>
                <w:sz w:val="15"/>
              </w:rPr>
              <w:t>Nобщ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объем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отходов,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подлежащих ликвидации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пределах выделенного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финансирования, куб. м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377" w:right="332" w:hanging="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Заполняется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муниципальным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образованием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Ежеквартально</w:t>
            </w:r>
          </w:p>
        </w:tc>
      </w:tr>
      <w:tr>
        <w:trPr>
          <w:trHeight w:val="210" w:hRule="atLeast"/>
        </w:trPr>
        <w:tc>
          <w:tcPr>
            <w:tcW w:w="574" w:type="dxa"/>
          </w:tcPr>
          <w:p>
            <w:pPr>
              <w:pStyle w:val="TableParagraph"/>
              <w:spacing w:line="169" w:lineRule="exact" w:before="21"/>
              <w:ind w:left="44" w:right="1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2725" w:type="dxa"/>
            <w:gridSpan w:val="6"/>
          </w:tcPr>
          <w:p>
            <w:pPr>
              <w:pStyle w:val="TableParagraph"/>
              <w:spacing w:line="169" w:lineRule="exact" w:before="21"/>
              <w:ind w:left="43" w:right="11"/>
              <w:jc w:val="center"/>
              <w:rPr>
                <w:sz w:val="15"/>
              </w:rPr>
            </w:pPr>
            <w:r>
              <w:rPr>
                <w:sz w:val="15"/>
              </w:rPr>
              <w:t>Подпрограмма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V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"Ликвидация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накопленного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вреда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окружающей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среде"</w:t>
            </w:r>
          </w:p>
        </w:tc>
      </w:tr>
      <w:tr>
        <w:trPr>
          <w:trHeight w:val="1571" w:hRule="atLeast"/>
        </w:trPr>
        <w:tc>
          <w:tcPr>
            <w:tcW w:w="57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ind w:left="44" w:righ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4.1</w:t>
            </w:r>
          </w:p>
        </w:tc>
        <w:tc>
          <w:tcPr>
            <w:tcW w:w="2621" w:type="dxa"/>
          </w:tcPr>
          <w:p>
            <w:pPr>
              <w:pStyle w:val="TableParagraph"/>
              <w:spacing w:before="84"/>
              <w:rPr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31"/>
              <w:rPr>
                <w:sz w:val="15"/>
              </w:rPr>
            </w:pPr>
            <w:r>
              <w:rPr>
                <w:sz w:val="15"/>
              </w:rPr>
              <w:t>Процент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реализации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мероприятий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содержанию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эксплуатации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объекта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размещения отходов и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закончервированного комплекса по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переработке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отходов</w:t>
            </w:r>
          </w:p>
        </w:tc>
        <w:tc>
          <w:tcPr>
            <w:tcW w:w="1069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80" w:right="3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Показатель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мун.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программы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Процент</w:t>
            </w:r>
          </w:p>
        </w:tc>
        <w:tc>
          <w:tcPr>
            <w:tcW w:w="5299" w:type="dxa"/>
          </w:tcPr>
          <w:p>
            <w:pPr>
              <w:pStyle w:val="TableParagraph"/>
              <w:spacing w:line="171" w:lineRule="exact"/>
              <w:ind w:left="31"/>
              <w:rPr>
                <w:sz w:val="15"/>
              </w:rPr>
            </w:pPr>
            <w:r>
              <w:rPr>
                <w:sz w:val="15"/>
              </w:rPr>
              <w:t>Показатель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рассчитывается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формуле:</w:t>
            </w:r>
          </w:p>
          <w:p>
            <w:pPr>
              <w:pStyle w:val="TableParagraph"/>
              <w:spacing w:before="7"/>
              <w:ind w:left="31"/>
              <w:rPr>
                <w:sz w:val="15"/>
              </w:rPr>
            </w:pPr>
            <w:r>
              <w:rPr>
                <w:sz w:val="15"/>
              </w:rPr>
              <w:t>ПРОJ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ИОМj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36"/>
                <w:sz w:val="15"/>
              </w:rPr>
              <w:t> </w:t>
            </w:r>
            <w:r>
              <w:rPr>
                <w:sz w:val="15"/>
              </w:rPr>
              <w:t>ОМj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*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100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%,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где:</w:t>
            </w:r>
          </w:p>
          <w:p>
            <w:pPr>
              <w:pStyle w:val="TableParagraph"/>
              <w:spacing w:line="249" w:lineRule="auto" w:before="8"/>
              <w:ind w:left="31"/>
              <w:rPr>
                <w:sz w:val="15"/>
              </w:rPr>
            </w:pPr>
            <w:r>
              <w:rPr>
                <w:sz w:val="15"/>
              </w:rPr>
              <w:t>ПРОJ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процент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реализованных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мероприятий,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предусмотренный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отношении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j-го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объекта.</w:t>
            </w:r>
          </w:p>
          <w:p>
            <w:pPr>
              <w:pStyle w:val="TableParagraph"/>
              <w:spacing w:line="249" w:lineRule="auto" w:before="1"/>
              <w:ind w:left="31" w:right="214"/>
              <w:rPr>
                <w:sz w:val="15"/>
              </w:rPr>
            </w:pPr>
            <w:r>
              <w:rPr>
                <w:sz w:val="15"/>
              </w:rPr>
              <w:t>ОМj - объем мероприятий, предусмотренных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в отношении j-го объекта;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ИОМj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исполненный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объем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мероприятий,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предусмотренный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отношении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j-го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объекта (в том (утилизация фильтрата и обеспечение работ, связанных с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обезвреживанием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биогаза).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2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56" w:right="29"/>
              <w:jc w:val="center"/>
              <w:rPr>
                <w:sz w:val="15"/>
              </w:rPr>
            </w:pPr>
            <w:r>
              <w:rPr>
                <w:sz w:val="15"/>
              </w:rPr>
              <w:t>Акты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выполненных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работ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в соответствии с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муниципальным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контрактом.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"/>
              <w:rPr>
                <w:sz w:val="15"/>
              </w:rPr>
            </w:pPr>
          </w:p>
          <w:p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Ежегодно</w:t>
            </w:r>
          </w:p>
        </w:tc>
      </w:tr>
    </w:tbl>
    <w:sectPr>
      <w:pgSz w:w="16840" w:h="11910" w:orient="landscape"/>
      <w:pgMar w:top="1040" w:bottom="280" w:left="992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5"/>
      <w:ind w:right="80"/>
      <w:jc w:val="center"/>
    </w:pPr>
    <w:rPr>
      <w:rFonts w:ascii="Times New Roman" w:hAnsi="Times New Roman" w:eastAsia="Times New Roman" w:cs="Times New Roman"/>
      <w:sz w:val="15"/>
      <w:szCs w:val="15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2026-03-12T07:15:10Z</dcterms:created>
  <dcterms:modified xsi:type="dcterms:W3CDTF">2026-03-12T07:15:10Z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