
<file path=[Content_Types].xml><?xml version="1.0" encoding="utf-8"?>
<Types xmlns="http://schemas.openxmlformats.org/package/2006/content-types">
  <Default Extension="jpeg" ContentType="image/jpeg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a="http://schemas.openxmlformats.org/drawingml/2006/main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180" w:hRule="exact"/>
        </w:trPr>
        <w:tc>
          <w:tcPr>
            <w:tcW w:w="4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2320" w:type="dxa"/>
            <w:vAlign w:val="bottom"/>
          </w:tcPr>
          <w:p>
            <w:pPr>
              <w:jc w:val="both"/>
            </w:pPr>
            <w:r/>
          </w:p>
        </w:tc>
        <w:tc>
          <w:tcPr>
            <w:tcW w:w="47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42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>Приложение № 2-1 к Программе</w:t>
            </w:r>
          </w:p>
        </w:tc>
        <w:tc>
          <w:tcPr>
            <w:tcW w:w="8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180" w:hRule="exact"/>
        </w:trPr>
        <w:tc>
          <w:tcPr>
            <w:tcW w:w="4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2320" w:type="dxa"/>
            <w:vAlign w:val="bottom"/>
          </w:tcPr>
          <w:p>
            <w:pPr>
              <w:jc w:val="both"/>
            </w:pPr>
            <w:r/>
          </w:p>
        </w:tc>
        <w:tc>
          <w:tcPr>
            <w:tcW w:w="4780" w:type="dxa"/>
            <w:vAlign w:val="bottom"/>
          </w:tcPr>
          <w:p>
            <w:pPr>
              <w:jc w:val="both"/>
            </w:pPr>
            <w:r/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/>
          </w:p>
        </w:tc>
        <w:tc>
          <w:tcPr>
            <w:tcW w:w="542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0"/>
                <w:color w:val="000000"/>
              </w:rPr>
              <w:t/>
            </w:r>
          </w:p>
        </w:tc>
        <w:tc>
          <w:tcPr>
            <w:tcW w:w="8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300" w:hRule="exact"/>
        </w:trPr>
        <w:tc>
          <w:tcPr>
            <w:tcW w:w="14140" w:type="dxa"/>
            <w:gridSpan w:val="5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Методика определения результатов выполнения мероприятий муниципальной программы городского округа Щёлково</w:t>
            </w:r>
          </w:p>
        </w:tc>
        <w:tc>
          <w:tcPr>
            <w:tcW w:w="8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280" w:hRule="exact"/>
        </w:trPr>
        <w:tc>
          <w:tcPr>
            <w:tcW w:w="14140" w:type="dxa"/>
            <w:gridSpan w:val="5"/>
            <w:tcBorders>
              <w:bottom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«Экология и окружающая среда»</w:t>
            </w:r>
          </w:p>
        </w:tc>
        <w:tc>
          <w:tcPr>
            <w:tcW w:w="8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680" w:hRule="exac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№ п/п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Номер подпрограммы, основного мероприятия, мероприятия 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Наименование результата выполнения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Единица измерения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</w:rPr>
              <w:t>Порядок определения значения результата выполнения мероприятий</w:t>
            </w:r>
          </w:p>
        </w:tc>
        <w:tc>
          <w:tcPr>
            <w:tcW w:w="8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180" w:hRule="exac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4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5</w:t>
            </w:r>
          </w:p>
        </w:tc>
        <w:tc>
          <w:tcPr>
            <w:tcW w:w="8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540" w:hRule="exac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1;01;01.01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Проведены анализы качества воды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Единиц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Показатель определяется как общее количество проведенных анализов.</w:t>
            </w:r>
          </w:p>
        </w:tc>
        <w:tc>
          <w:tcPr>
            <w:tcW w:w="8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620" w:hRule="exac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1;01;01.03                                               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Проведены наблюдения за состоянием и загрязнением окружающей среды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Единиц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Показатель определяется как общее количество проведенных наблюдений за состоянием и загрязнением окружающей среды.</w:t>
            </w:r>
          </w:p>
        </w:tc>
        <w:tc>
          <w:tcPr>
            <w:tcW w:w="8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560" w:hRule="exac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1;02;02.03 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Обустроены родники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Штук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Показатель определяется как общее количество обустроенных родников.</w:t>
            </w:r>
          </w:p>
        </w:tc>
        <w:tc>
          <w:tcPr>
            <w:tcW w:w="8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560" w:hRule="exac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4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1;03;03.01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Проведены экологические мероприятия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Единиц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Показатель определяется как общее количество проведенных выставок и семинаров.</w:t>
            </w:r>
          </w:p>
        </w:tc>
        <w:tc>
          <w:tcPr>
            <w:tcW w:w="8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980" w:hRule="exac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5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2;01;01.01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Едениц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Показатель определяется как общее количество гидротехнических сооружений, в отношении который разработана необходимая документация для эксплуатации.</w:t>
            </w:r>
          </w:p>
        </w:tc>
        <w:tc>
          <w:tcPr>
            <w:tcW w:w="8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700" w:hRule="exac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7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2;01;01.03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Разработана проектная документация на капитальный ремонт гидротехнических сооружений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Едениц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Показатель определяется как общее количество объектов, в отношении которых разработана проектная документация.</w:t>
            </w:r>
          </w:p>
        </w:tc>
        <w:tc>
          <w:tcPr>
            <w:tcW w:w="8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1040" w:hRule="exac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8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2;01;01.03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Завершен 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Едениц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Показатель определяется как общее количество объектов, в отношении которых завершен капитальный ремонт гидротехнических сооружений, находящихся в муниципальной собственности, по проведенным мероприятиям, согласно актам выполненных работ</w:t>
            </w:r>
          </w:p>
        </w:tc>
        <w:tc>
          <w:tcPr>
            <w:tcW w:w="8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680" w:hRule="exac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9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2;01;01.05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Едениц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Показатель определяется как общее количество объектов, в отношении которых проведены обследования и выполнены работы (услуги)  по содержанию гидротехнических сооружений.</w:t>
            </w:r>
          </w:p>
        </w:tc>
        <w:tc>
          <w:tcPr>
            <w:tcW w:w="8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700" w:hRule="exac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10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2;03;03.01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Проведена очистка прудов, находящихся в муниципальной собственности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Га.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Показатель определяется как общее количество объектов, в отношении которых проведены работы по очистке прудов.</w:t>
            </w:r>
          </w:p>
        </w:tc>
        <w:tc>
          <w:tcPr>
            <w:tcW w:w="800" w:type="dxa"/>
            <w:vAlign w:val="bottom"/>
          </w:tcPr>
          <w:p>
            <w:pPr>
              <w:jc w:val="both"/>
            </w:pPr>
            <w:r/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780" w:hRule="exac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11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2;03;03.02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Проведены исследования состояния и загрязнения водных объектов, расположенных в границах муниципального образования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Едениц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Показатель определяется как общее количество объектов, в отношении которых проведены исследования состояния и загрязнения водных объектов в границах муниципального образования</w:t>
            </w:r>
          </w:p>
        </w:tc>
        <w:tc>
          <w:tcPr>
            <w:tcW w:w="8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860" w:hRule="exac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12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2;03;03.03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Проведены работы по очистке прудов от мусора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Га.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Показатель определяется как общее количество объектов, в отношении которых проведены работы по очистке от мусора</w:t>
            </w:r>
          </w:p>
        </w:tc>
        <w:tc>
          <w:tcPr>
            <w:tcW w:w="8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1560" w:hRule="exac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13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4;01;01.06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Куб. м.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Определяется Закон Московской области №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</w:p>
        </w:tc>
        <w:tc>
          <w:tcPr>
            <w:tcW w:w="8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600" w:hRule="exac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14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4;04;04.01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Проведены акции по посадке леса.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Едениц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Показатель определяется как общее количество проведенных акций по посадке леса.</w:t>
            </w:r>
          </w:p>
        </w:tc>
        <w:tc>
          <w:tcPr>
            <w:tcW w:w="8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900" w:hRule="exac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15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5;02;02.04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Проведен 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Едениц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Показатель определяется как общее количество объектов, в отношении которых проведены отборы проб и обработаны данные лабораторных исследований</w:t>
            </w:r>
          </w:p>
        </w:tc>
        <w:tc>
          <w:tcPr>
            <w:tcW w:w="8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2040" w:hRule="exac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16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5;02;02.09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Процент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Показатель выполнения работ по вывозу и утилизации и/или обезвреживанию фильтрата, а также осуществлен сбор и утилизация свалочного газа с полигона твердых коммунальных отходов рассчитывается как среднее значение:</w:t>
            </w:r>
          </w:p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ВРфд=(Врф+ВРд)/2 </w:t>
            </w:r>
          </w:p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Где :</w:t>
            </w:r>
          </w:p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Врф - выполненные работы по вывозу и утилизации и/или обезвреживанию фильтрата в %.</w:t>
            </w:r>
          </w:p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ВРд - выполненные работы по сбору и утилизации свалочного газа в %.</w:t>
            </w:r>
          </w:p>
          <w:p>
            <w:pPr>
              <w:jc w:val="both"/>
            </w:pPr>
            <w:r/>
          </w:p>
        </w:tc>
        <w:tc>
          <w:tcPr>
            <w:tcW w:w="8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580" w:hRule="exac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17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5;05;05.04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Выполнен сбор, вывоз и утилизация поверхностных и фильтрационных вод с закрытого полигона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Едениц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Показатель определяется как общее количество объектов, в отношении которых проведен сбор, вывоз и утилизация поверхностных и фильтрационных вод.</w:t>
            </w:r>
          </w:p>
        </w:tc>
        <w:tc>
          <w:tcPr>
            <w:tcW w:w="8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780" w:hRule="exac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18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5;05;05.05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Разработана и согласована нормативно-экологическая документация и проект санитарно-защитной зоны закрытого полигона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Едениц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Показатель определяется как общее количество объектов, в отношении которых разработаны и согласованы нормативно-экологическая документация и проект санитарно-защитной зоны закрытого полигона</w:t>
            </w:r>
          </w:p>
        </w:tc>
        <w:tc>
          <w:tcPr>
            <w:tcW w:w="800" w:type="dxa"/>
            <w:vAlign w:val="bottom"/>
          </w:tcPr>
          <w:p>
            <w:pPr>
              <w:jc w:val="both"/>
            </w:pPr>
            <w:r/>
          </w:p>
        </w:tc>
      </w:tr>
      <w:tr>
        <w:trPr>
          <w:trHeight w:val="780" w:hRule="exac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19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5;05;05.06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Проведен отбор проб, проводимый на территории закрытого полигона и расходы за обработку данных лабораторных исследований.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color w:val="000000"/>
              </w:rPr>
              <w:t>Едениц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color w:val="000000"/>
              </w:rPr>
              <w:t>Показатель определяется как общее количество объектов, в отношении которых проведены отборы проб и обработаны данные лабораторных исследований</w:t>
            </w:r>
          </w:p>
          <w:p>
            <w:pPr>
              <w:jc w:val="both"/>
            </w:pPr>
            <w:r/>
          </w:p>
        </w:tc>
        <w:tc>
          <w:tcPr>
            <w:tcW w:w="800" w:type="dxa"/>
            <w:vAlign w:val="bottom"/>
          </w:tcPr>
          <w:p>
            <w:pPr>
              <w:jc w:val="both"/>
            </w:pPr>
            <w:r/>
          </w:p>
        </w:tc>
      </w:tr>
    </w:tbl>
    <w:sectPr>
      <w:pgSz w:w="16860" w:h="11925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theme" Target="theme/theme1.xml" /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