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a="http://schemas.openxmlformats.org/drawingml/2006/main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6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96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88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92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880" w:type="dxa"/>
            <w:vAlign w:val="center"/>
          </w:tcPr>
          <w:p>
            <w:pPr>
              <w:jc w:val="center"/>
            </w:pPr>
            <w:r/>
          </w:p>
        </w:tc>
        <w:tc>
          <w:tcPr>
            <w:tcW w:w="680" w:type="dxa"/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680" w:type="dxa"/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680" w:type="dxa"/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2020" w:type="dxa"/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Приложение №1 к Программе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40" w:hRule="exact"/>
        </w:trPr>
        <w:tc>
          <w:tcPr>
            <w:tcW w:w="12980" w:type="dxa"/>
            <w:gridSpan w:val="12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Целевые показатели муниципальной программы городского округа Щёлково «Экология и окружающая среда» 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Наименование целевых показателей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Тип показателя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Единица измерения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Базовое значение на начало реализации подпрограммы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Планируемое значение показателя по годам реализации</w:t>
            </w:r>
          </w:p>
          <w:p>
            <w:pPr>
              <w:jc w:val="center"/>
            </w:pPr>
            <w:r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Номер программы, мероприятий, оказывающих влияние на достижение показателя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/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Подпрограмма I " Охрана окружающей среды"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857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935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857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857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01.01.01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01.01.03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01.02.03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1.2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Человек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01.03.01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04.04.01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Подпрограмма II "Развитие водохозяйственного комплекса"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Процент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02.01.01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4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02.01.03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02.01.05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560" w:hRule="exac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2.2.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</w:t>
            </w:r>
          </w:p>
          <w:p>
            <w:pPr>
              <w:jc w:val="center"/>
            </w:pPr>
            <w:r>
              <w:rPr>
                <w:rFonts w:ascii="Times New Roman"/>
                <w:sz w:val="20"/>
              </w:rPr>
              <w:t>по повышению защищенности от негативного воздействия вод, нарастающим итогом</w:t>
            </w:r>
          </w:p>
          <w:p>
            <w:pPr>
              <w:jc w:val="center"/>
            </w:pPr>
            <w:r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Тыс. чел.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02.01.03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1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2.3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Приоритетный Показатель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Штука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02.03.01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2.4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Штука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02.03.02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02.03.03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Подпрограмма IV "Развитие лесного хозяйства"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3.1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  <w:p>
            <w:pPr>
              <w:jc w:val="left"/>
            </w:pPr>
            <w:r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Процент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04.01.06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Подпрограмма V "Ликвидация накопленного вреда окружающей среде"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4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4.1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Показатель мун. программы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Процент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05.02.04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05.02.09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05.05.04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05.05.05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  <w:shd w:val="clear" w:color="auto" w:fill="FFFFFF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05.05.06</w:t>
            </w:r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80" w:type="dxa"/>
            <w:vAlign w:val="bottom"/>
          </w:tcPr>
          <w:p>
            <w:pPr>
              <w:jc w:val="both"/>
            </w:pPr>
            <w:r/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2" Type="http://schemas.openxmlformats.org/officeDocument/2006/relationships/settings" Target="settings.xml" /><Relationship Id="rId5" Type="http://schemas.openxmlformats.org/officeDocument/2006/relationships/fontTable" Target="fontTable.xml" /><Relationship Id="rId1" Type="http://schemas.openxmlformats.org/officeDocument/2006/relationships/styles" Target="styles.xml" /><Relationship Id="rId3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